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37D36699"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910F3">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5159F7">
        <w:rPr>
          <w:rFonts w:eastAsia="SimSun"/>
          <w:sz w:val="24"/>
          <w:lang w:eastAsia="zh-CN"/>
        </w:rPr>
        <w:t>09400</w:t>
      </w:r>
      <w:bookmarkStart w:id="1" w:name="_GoBack"/>
      <w:bookmarkEnd w:id="1"/>
    </w:p>
    <w:p w14:paraId="0226B31D" w14:textId="422C9608"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F910F3">
        <w:rPr>
          <w:rFonts w:eastAsia="SimSun"/>
          <w:sz w:val="24"/>
          <w:vertAlign w:val="superscript"/>
          <w:lang w:eastAsia="zh-CN"/>
        </w:rPr>
        <w:t>nd</w:t>
      </w:r>
      <w:r w:rsidR="00657105">
        <w:rPr>
          <w:rFonts w:eastAsia="SimSun"/>
          <w:sz w:val="24"/>
          <w:lang w:eastAsia="zh-CN"/>
        </w:rPr>
        <w:t xml:space="preserve"> – </w:t>
      </w:r>
      <w:r w:rsidR="00F910F3">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F910F3">
        <w:rPr>
          <w:rFonts w:eastAsia="SimSun"/>
          <w:sz w:val="24"/>
          <w:lang w:eastAsia="zh-CN"/>
        </w:rPr>
        <w:t>Nove</w:t>
      </w:r>
      <w:r w:rsidR="00746075">
        <w:rPr>
          <w:rFonts w:eastAsia="SimSun"/>
          <w:sz w:val="24"/>
          <w:lang w:eastAsia="zh-CN"/>
        </w:rPr>
        <w:t>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46F767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2" w:name="Title"/>
      <w:bookmarkEnd w:id="2"/>
      <w:r w:rsidRPr="00B57E62">
        <w:rPr>
          <w:rFonts w:cs="Arial"/>
          <w:sz w:val="22"/>
          <w:szCs w:val="22"/>
        </w:rPr>
        <w:tab/>
      </w:r>
      <w:r w:rsidR="00086CD2">
        <w:rPr>
          <w:rFonts w:cs="Arial"/>
          <w:sz w:val="22"/>
          <w:szCs w:val="22"/>
        </w:rPr>
        <w:t>Enhancements to Mobility History Information</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3" w:name="Source"/>
      <w:bookmarkEnd w:id="3"/>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4" w:name="DocumentFor"/>
      <w:bookmarkEnd w:id="4"/>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34537438"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338C1A67"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C3642A">
        <w:rPr>
          <w:iCs/>
          <w:lang w:eastAsia="zh-CN"/>
        </w:rPr>
        <w:t xml:space="preserve">. </w:t>
      </w:r>
    </w:p>
    <w:p w14:paraId="3935F9CE" w14:textId="475C54DF" w:rsidR="00921108" w:rsidRP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6BD1BB1" w14:textId="77777777" w:rsidR="00921108" w:rsidRDefault="00921108" w:rsidP="00921108">
      <w:pPr>
        <w:tabs>
          <w:tab w:val="center" w:pos="4535"/>
        </w:tabs>
        <w:rPr>
          <w:szCs w:val="20"/>
          <w:lang w:val="en-GB" w:eastAsia="zh-CN"/>
        </w:rPr>
      </w:pPr>
      <w:r w:rsidRPr="00056A4B">
        <w:rPr>
          <w:szCs w:val="20"/>
          <w:lang w:val="en-GB" w:eastAsia="zh-CN"/>
        </w:rPr>
        <w:t>In Rel-16,</w:t>
      </w:r>
      <w:r>
        <w:rPr>
          <w:szCs w:val="20"/>
          <w:lang w:val="en-GB" w:eastAsia="zh-CN"/>
        </w:rPr>
        <w:t xml:space="preserve"> the UE history information was discussed in the SA scenario. As mentioned in the introduction Rel-17 SON/MDT considers discussion of UE </w:t>
      </w:r>
      <w:r w:rsidRPr="0083324A">
        <w:rPr>
          <w:szCs w:val="20"/>
          <w:lang w:val="en-GB" w:eastAsia="zh-CN"/>
        </w:rPr>
        <w:t xml:space="preserve">history information in EN-DC, where the </w:t>
      </w:r>
      <w:r w:rsidRPr="0083324A">
        <w:rPr>
          <w:rFonts w:eastAsia="Yu Gothic"/>
          <w:lang w:eastAsia="ja-JP"/>
        </w:rPr>
        <w:t xml:space="preserve">CGI (if available) or PCI and </w:t>
      </w:r>
      <w:r>
        <w:rPr>
          <w:rFonts w:eastAsia="Yu Gothic"/>
          <w:lang w:eastAsia="ja-JP"/>
        </w:rPr>
        <w:t xml:space="preserve">the carrier </w:t>
      </w:r>
      <w:r w:rsidRPr="0083324A">
        <w:rPr>
          <w:rFonts w:eastAsia="Yu Gothic"/>
          <w:lang w:eastAsia="ja-JP"/>
        </w:rPr>
        <w:t xml:space="preserve">frequency of </w:t>
      </w:r>
      <w:proofErr w:type="spellStart"/>
      <w:r w:rsidRPr="0083324A">
        <w:rPr>
          <w:rFonts w:eastAsia="Yu Gothic"/>
          <w:lang w:eastAsia="ja-JP"/>
        </w:rPr>
        <w:t>PSCell</w:t>
      </w:r>
      <w:proofErr w:type="spellEnd"/>
      <w:r>
        <w:rPr>
          <w:szCs w:val="20"/>
          <w:lang w:val="en-GB" w:eastAsia="zh-CN"/>
        </w:rPr>
        <w:t xml:space="preserve"> can be added to the UE history information. For adding the SCG related Mobility History Information (MHI) to the UE history information, we have the following options: </w:t>
      </w:r>
    </w:p>
    <w:p w14:paraId="7FDC368E" w14:textId="77777777" w:rsidR="00921108" w:rsidRDefault="00921108" w:rsidP="00921108">
      <w:pPr>
        <w:tabs>
          <w:tab w:val="center" w:pos="4535"/>
        </w:tabs>
        <w:rPr>
          <w:szCs w:val="20"/>
          <w:lang w:val="en-GB" w:eastAsia="zh-CN"/>
        </w:rPr>
      </w:pPr>
    </w:p>
    <w:p w14:paraId="3E25DCF2" w14:textId="293A8CB8" w:rsidR="00921108" w:rsidRDefault="00921108" w:rsidP="00921108">
      <w:pPr>
        <w:tabs>
          <w:tab w:val="center" w:pos="4535"/>
        </w:tabs>
        <w:rPr>
          <w:b/>
          <w:bCs/>
          <w:szCs w:val="20"/>
          <w:lang w:val="en-GB" w:eastAsia="zh-CN"/>
        </w:rPr>
      </w:pPr>
      <w:r>
        <w:rPr>
          <w:b/>
          <w:bCs/>
          <w:szCs w:val="20"/>
          <w:lang w:val="en-GB" w:eastAsia="zh-CN"/>
        </w:rPr>
        <w:t xml:space="preserve">Observation </w:t>
      </w:r>
      <w:r w:rsidR="00E8056F">
        <w:rPr>
          <w:b/>
          <w:bCs/>
          <w:szCs w:val="20"/>
          <w:lang w:val="en-GB" w:eastAsia="zh-CN"/>
        </w:rPr>
        <w:t>1</w:t>
      </w:r>
      <w:r>
        <w:rPr>
          <w:b/>
          <w:bCs/>
          <w:szCs w:val="20"/>
          <w:lang w:val="en-GB" w:eastAsia="zh-CN"/>
        </w:rPr>
        <w:t xml:space="preserve">: UE has the following two options for preparing MCG and SCG Mobility History Information (MHI) report: </w:t>
      </w:r>
    </w:p>
    <w:p w14:paraId="4D9A1764" w14:textId="77777777" w:rsidR="00921108" w:rsidRDefault="00921108" w:rsidP="00921108">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2B802B40" w14:textId="77777777" w:rsidR="00921108" w:rsidRDefault="00921108" w:rsidP="00921108">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6F07FA82" w14:textId="77777777" w:rsidR="00921108" w:rsidRDefault="00921108" w:rsidP="00921108">
      <w:pPr>
        <w:tabs>
          <w:tab w:val="center" w:pos="4535"/>
        </w:tabs>
        <w:rPr>
          <w:b/>
          <w:bCs/>
          <w:szCs w:val="20"/>
          <w:lang w:val="en-GB" w:eastAsia="zh-CN"/>
        </w:rPr>
      </w:pPr>
    </w:p>
    <w:p w14:paraId="64EB9735" w14:textId="762F80FC" w:rsidR="00D40BED" w:rsidRDefault="00921108" w:rsidP="00921108">
      <w:pPr>
        <w:rPr>
          <w:szCs w:val="20"/>
          <w:lang w:val="en-GB" w:eastAsia="zh-CN"/>
        </w:rPr>
      </w:pPr>
      <w:r w:rsidRPr="00702124">
        <w:rPr>
          <w:szCs w:val="20"/>
          <w:lang w:val="en-GB" w:eastAsia="zh-CN"/>
        </w:rPr>
        <w:t xml:space="preserve">Note that </w:t>
      </w:r>
      <w:r>
        <w:rPr>
          <w:szCs w:val="20"/>
          <w:lang w:val="en-GB" w:eastAsia="zh-CN"/>
        </w:rPr>
        <w:t xml:space="preserve">for the backward compatibility option 1 is not a suitable solution. For the legacy </w:t>
      </w:r>
      <w:proofErr w:type="spellStart"/>
      <w:r>
        <w:rPr>
          <w:szCs w:val="20"/>
          <w:lang w:val="en-GB" w:eastAsia="zh-CN"/>
        </w:rPr>
        <w:t>gNB</w:t>
      </w:r>
      <w:proofErr w:type="spellEnd"/>
      <w:r>
        <w:rPr>
          <w:szCs w:val="20"/>
          <w:lang w:val="en-GB" w:eastAsia="zh-CN"/>
        </w:rPr>
        <w:t xml:space="preserve"> that does not support SCG related mobility history information, capturing the SCG related mobility in the same MHI report may not be desired. </w:t>
      </w:r>
      <w:r w:rsidR="0082761A">
        <w:rPr>
          <w:szCs w:val="20"/>
          <w:lang w:val="en-GB" w:eastAsia="zh-CN"/>
        </w:rPr>
        <w:t xml:space="preserve">Furthermore, if MCG is </w:t>
      </w:r>
      <w:r w:rsidR="00571D47">
        <w:rPr>
          <w:szCs w:val="20"/>
          <w:lang w:val="en-GB" w:eastAsia="zh-CN"/>
        </w:rPr>
        <w:t xml:space="preserve">legacy and SCG </w:t>
      </w:r>
      <w:proofErr w:type="spellStart"/>
      <w:r w:rsidR="00571D47">
        <w:rPr>
          <w:szCs w:val="20"/>
          <w:lang w:val="en-GB" w:eastAsia="zh-CN"/>
        </w:rPr>
        <w:t>gNB</w:t>
      </w:r>
      <w:proofErr w:type="spellEnd"/>
      <w:r w:rsidR="00571D47">
        <w:rPr>
          <w:szCs w:val="20"/>
          <w:lang w:val="en-GB" w:eastAsia="zh-CN"/>
        </w:rPr>
        <w:t xml:space="preserve"> is non-legacy, then the SCG mobility history information can be sent to </w:t>
      </w:r>
      <w:r w:rsidR="009F6468">
        <w:rPr>
          <w:szCs w:val="20"/>
          <w:lang w:val="en-GB" w:eastAsia="zh-CN"/>
        </w:rPr>
        <w:t xml:space="preserve">SCG </w:t>
      </w:r>
      <w:proofErr w:type="spellStart"/>
      <w:r w:rsidR="009F6468">
        <w:rPr>
          <w:szCs w:val="20"/>
          <w:lang w:val="en-GB" w:eastAsia="zh-CN"/>
        </w:rPr>
        <w:t>gNB</w:t>
      </w:r>
      <w:proofErr w:type="spellEnd"/>
      <w:r w:rsidR="009F6468">
        <w:rPr>
          <w:szCs w:val="20"/>
          <w:lang w:val="en-GB" w:eastAsia="zh-CN"/>
        </w:rPr>
        <w:t>/</w:t>
      </w:r>
      <w:proofErr w:type="spellStart"/>
      <w:r w:rsidR="009F6468">
        <w:rPr>
          <w:szCs w:val="20"/>
          <w:lang w:val="en-GB" w:eastAsia="zh-CN"/>
        </w:rPr>
        <w:t>PSCell</w:t>
      </w:r>
      <w:proofErr w:type="spellEnd"/>
      <w:r w:rsidR="009F6468">
        <w:rPr>
          <w:szCs w:val="20"/>
          <w:lang w:val="en-GB" w:eastAsia="zh-CN"/>
        </w:rPr>
        <w:t xml:space="preserve"> within a container. </w:t>
      </w:r>
      <w:r>
        <w:rPr>
          <w:szCs w:val="20"/>
          <w:lang w:val="en-GB" w:eastAsia="zh-CN"/>
        </w:rPr>
        <w:t xml:space="preserve">Thus, we prefer option 2 MCG and SCG MHI reporting. In the SCG MHI report, we should also allow capturing the MN CGI or PCI together with the carrier frequency of PCELL for obtaining the linking between </w:t>
      </w:r>
      <w:proofErr w:type="spellStart"/>
      <w:r>
        <w:rPr>
          <w:szCs w:val="20"/>
          <w:lang w:val="en-GB" w:eastAsia="zh-CN"/>
        </w:rPr>
        <w:t>PCell</w:t>
      </w:r>
      <w:proofErr w:type="spellEnd"/>
      <w:r>
        <w:rPr>
          <w:szCs w:val="20"/>
          <w:lang w:val="en-GB" w:eastAsia="zh-CN"/>
        </w:rPr>
        <w:t xml:space="preserve"> and </w:t>
      </w:r>
      <w:proofErr w:type="spellStart"/>
      <w:r>
        <w:rPr>
          <w:szCs w:val="20"/>
          <w:lang w:val="en-GB" w:eastAsia="zh-CN"/>
        </w:rPr>
        <w:t>PSCell</w:t>
      </w:r>
      <w:proofErr w:type="spellEnd"/>
      <w:r>
        <w:rPr>
          <w:szCs w:val="20"/>
          <w:lang w:val="en-GB" w:eastAsia="zh-CN"/>
        </w:rPr>
        <w:t xml:space="preserve"> in EN-DC. Furthermore, for achieving SCG mobility robustness, we should allow the retrieval of UE history information together with </w:t>
      </w:r>
      <w:proofErr w:type="spellStart"/>
      <w:r>
        <w:rPr>
          <w:szCs w:val="20"/>
          <w:lang w:val="en-GB" w:eastAsia="zh-CN"/>
        </w:rPr>
        <w:t>SCGFailureInformation</w:t>
      </w:r>
      <w:proofErr w:type="spellEnd"/>
      <w:r>
        <w:rPr>
          <w:szCs w:val="20"/>
          <w:lang w:val="en-GB" w:eastAsia="zh-CN"/>
        </w:rPr>
        <w:t>.</w:t>
      </w:r>
      <w:r w:rsidR="0042068F">
        <w:rPr>
          <w:szCs w:val="20"/>
          <w:lang w:val="en-GB" w:eastAsia="zh-CN"/>
        </w:rPr>
        <w:t xml:space="preserve"> Thus, we have the following proposals:</w:t>
      </w:r>
    </w:p>
    <w:p w14:paraId="17742E3F" w14:textId="5F1EF389" w:rsidR="0042068F" w:rsidRDefault="0042068F" w:rsidP="00921108">
      <w:pPr>
        <w:rPr>
          <w:szCs w:val="20"/>
          <w:lang w:val="en-GB" w:eastAsia="zh-CN"/>
        </w:rPr>
      </w:pPr>
    </w:p>
    <w:p w14:paraId="14995BCA" w14:textId="27EC1707" w:rsidR="007B5EDD" w:rsidRDefault="007B5EDD" w:rsidP="007B5EDD">
      <w:pPr>
        <w:tabs>
          <w:tab w:val="center" w:pos="4535"/>
        </w:tabs>
        <w:spacing w:after="120"/>
        <w:rPr>
          <w:b/>
          <w:bCs/>
          <w:szCs w:val="20"/>
          <w:lang w:val="en-GB" w:eastAsia="zh-CN"/>
        </w:rPr>
      </w:pPr>
      <w:r>
        <w:rPr>
          <w:b/>
          <w:bCs/>
          <w:szCs w:val="20"/>
          <w:lang w:val="en-GB" w:eastAsia="zh-CN"/>
        </w:rPr>
        <w:t>Proposal 1: UE prepares separate MHI reports for MCG and SCG, where the MCG MHI report can capture the UE history information over MCG and SCG MHI report captures the UE history information over SCG.</w:t>
      </w:r>
    </w:p>
    <w:p w14:paraId="5A630C47" w14:textId="4D65E11E" w:rsidR="007B5EDD" w:rsidRDefault="007B5EDD" w:rsidP="007B5EDD">
      <w:pPr>
        <w:tabs>
          <w:tab w:val="center" w:pos="4535"/>
        </w:tabs>
        <w:spacing w:after="120"/>
        <w:rPr>
          <w:b/>
          <w:bCs/>
          <w:szCs w:val="20"/>
          <w:lang w:val="en-GB" w:eastAsia="zh-CN"/>
        </w:rPr>
      </w:pPr>
      <w:r>
        <w:rPr>
          <w:b/>
          <w:bCs/>
          <w:szCs w:val="20"/>
          <w:lang w:val="en-GB" w:eastAsia="zh-CN"/>
        </w:rPr>
        <w:t xml:space="preserve">Proposal 2: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24DAECF7" w14:textId="77777777" w:rsidR="007B5EDD" w:rsidRPr="00D56468" w:rsidRDefault="007B5EDD" w:rsidP="007B5EDD">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4717417D" w14:textId="2816EB66" w:rsidR="0042068F" w:rsidRPr="00DF7F90" w:rsidRDefault="00DF7F90" w:rsidP="00921108">
      <w:pPr>
        <w:rPr>
          <w:szCs w:val="20"/>
          <w:lang w:val="en-GB" w:eastAsia="zh-CN"/>
        </w:rPr>
      </w:pPr>
      <w:r w:rsidRPr="00DF7F90">
        <w:rPr>
          <w:rStyle w:val="normaltextrun"/>
          <w:rFonts w:eastAsia="Malgun Gothic"/>
          <w:b/>
          <w:bCs/>
          <w:szCs w:val="20"/>
        </w:rPr>
        <w:lastRenderedPageBreak/>
        <w:t xml:space="preserve">Proposal 4: Allow both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and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to extract the SCG mobility history Information.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can request the SCG mobility history information using UE Information request and response while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can request the SCG mobility history Information through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5"/>
      <w:bookmarkEnd w:id="6"/>
    </w:p>
    <w:p w14:paraId="1C2F7BEE" w14:textId="5247A5FE" w:rsidR="00DF7F90" w:rsidRDefault="00DF7F90" w:rsidP="00DF7F90">
      <w:pPr>
        <w:tabs>
          <w:tab w:val="center" w:pos="4535"/>
        </w:tabs>
        <w:rPr>
          <w:b/>
          <w:bCs/>
          <w:szCs w:val="20"/>
          <w:lang w:val="en-GB" w:eastAsia="zh-CN"/>
        </w:rPr>
      </w:pPr>
      <w:r>
        <w:rPr>
          <w:b/>
          <w:bCs/>
          <w:szCs w:val="20"/>
          <w:lang w:val="en-GB" w:eastAsia="zh-CN"/>
        </w:rPr>
        <w:t xml:space="preserve">Observation </w:t>
      </w:r>
      <w:r w:rsidR="00E8056F">
        <w:rPr>
          <w:b/>
          <w:bCs/>
          <w:szCs w:val="20"/>
          <w:lang w:val="en-GB" w:eastAsia="zh-CN"/>
        </w:rPr>
        <w:t>1</w:t>
      </w:r>
      <w:r>
        <w:rPr>
          <w:b/>
          <w:bCs/>
          <w:szCs w:val="20"/>
          <w:lang w:val="en-GB" w:eastAsia="zh-CN"/>
        </w:rPr>
        <w:t xml:space="preserve">: UE has the following two options for preparing MCG and SCG Mobility History Information (MHI) report: </w:t>
      </w:r>
    </w:p>
    <w:p w14:paraId="64B2206B" w14:textId="77777777" w:rsidR="00DF7F90" w:rsidRDefault="00DF7F90" w:rsidP="00DF7F90">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20C817A5" w14:textId="2A539B2A" w:rsidR="005D2B8C" w:rsidRPr="00DF7F90" w:rsidRDefault="00DF7F90" w:rsidP="005D2B8C">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4AB8CACC" w14:textId="77777777" w:rsidR="00DF7F90" w:rsidRDefault="00DF7F90" w:rsidP="00DF7F90">
      <w:pPr>
        <w:tabs>
          <w:tab w:val="center" w:pos="4535"/>
        </w:tabs>
        <w:spacing w:before="120" w:after="120"/>
        <w:rPr>
          <w:b/>
          <w:bCs/>
          <w:szCs w:val="20"/>
          <w:lang w:val="en-GB" w:eastAsia="zh-CN"/>
        </w:rPr>
      </w:pPr>
      <w:r>
        <w:rPr>
          <w:b/>
          <w:bCs/>
          <w:szCs w:val="20"/>
          <w:lang w:val="en-GB" w:eastAsia="zh-CN"/>
        </w:rPr>
        <w:t>Proposal 1: UE prepares separate MHI reports for MCG and SCG, where the MCG MHI report can capture the UE history information over MCG and SCG MHI report captures the UE history information over SCG.</w:t>
      </w:r>
    </w:p>
    <w:p w14:paraId="2E48D179" w14:textId="77777777" w:rsidR="00DF7F90" w:rsidRDefault="00DF7F90" w:rsidP="00DF7F90">
      <w:pPr>
        <w:tabs>
          <w:tab w:val="center" w:pos="4535"/>
        </w:tabs>
        <w:spacing w:after="120"/>
        <w:rPr>
          <w:b/>
          <w:bCs/>
          <w:szCs w:val="20"/>
          <w:lang w:val="en-GB" w:eastAsia="zh-CN"/>
        </w:rPr>
      </w:pPr>
      <w:r>
        <w:rPr>
          <w:b/>
          <w:bCs/>
          <w:szCs w:val="20"/>
          <w:lang w:val="en-GB" w:eastAsia="zh-CN"/>
        </w:rPr>
        <w:t xml:space="preserve">Proposal 2: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3A98CEDF" w14:textId="77777777" w:rsidR="00DF7F90" w:rsidRPr="00D56468" w:rsidRDefault="00DF7F90" w:rsidP="00DF7F90">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2B147102" w14:textId="292B47EC" w:rsidR="00DF7F90" w:rsidRPr="00DF7F90" w:rsidRDefault="00DF7F90" w:rsidP="00DF7F90">
      <w:pPr>
        <w:rPr>
          <w:szCs w:val="20"/>
          <w:lang w:val="en-GB" w:eastAsia="zh-CN"/>
        </w:rPr>
      </w:pPr>
      <w:r w:rsidRPr="00DF7F90">
        <w:rPr>
          <w:rStyle w:val="normaltextrun"/>
          <w:rFonts w:eastAsia="Malgun Gothic"/>
          <w:b/>
          <w:bCs/>
          <w:szCs w:val="20"/>
        </w:rPr>
        <w:t xml:space="preserve">Proposal 4: Allow both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and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to extract the SCG mobility history Information.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can request the SCG mobility history information using UE Information request and response while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can request the SCG mobility history Information through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00BD7556"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0BFD33DD" w:rsidR="009141D1" w:rsidRDefault="009141D1" w:rsidP="00C53309">
      <w:pPr>
        <w:spacing w:after="120"/>
        <w:rPr>
          <w:rFonts w:eastAsia="SimSun"/>
          <w:lang w:val="en-GB"/>
        </w:rPr>
      </w:pPr>
      <w:r>
        <w:rPr>
          <w:rFonts w:eastAsia="SimSun"/>
          <w:lang w:val="en-GB"/>
        </w:rPr>
        <w:t xml:space="preserve">[2] </w:t>
      </w:r>
      <w:r w:rsidR="00CA2135">
        <w:rPr>
          <w:rFonts w:eastAsia="SimSun"/>
          <w:lang w:eastAsia="zh-CN"/>
        </w:rPr>
        <w:t xml:space="preserve">RAN2#111-e </w:t>
      </w:r>
      <w:r>
        <w:rPr>
          <w:rFonts w:eastAsia="SimSun"/>
          <w:lang w:val="en-GB"/>
        </w:rPr>
        <w:t>meeting report</w:t>
      </w:r>
    </w:p>
    <w:p w14:paraId="0BBB5BE9" w14:textId="2C9105B1" w:rsidR="00F10BD5" w:rsidRPr="009141D1" w:rsidRDefault="00C53309" w:rsidP="009141D1">
      <w:pPr>
        <w:rPr>
          <w:rFonts w:eastAsia="SimSun"/>
          <w:lang w:val="en-GB"/>
        </w:rPr>
      </w:pPr>
      <w:r>
        <w:rPr>
          <w:rFonts w:eastAsia="SimSun"/>
          <w:lang w:val="en-GB"/>
        </w:rPr>
        <w:t xml:space="preserve">[3] </w:t>
      </w:r>
      <w:r w:rsidRPr="009C2F5E">
        <w:rPr>
          <w:rFonts w:eastAsia="SimSun"/>
          <w:lang w:val="en-GB"/>
        </w:rPr>
        <w:t>R3-</w:t>
      </w:r>
      <w:r w:rsidR="00F50AF4" w:rsidRPr="009C2F5E">
        <w:rPr>
          <w:rFonts w:eastAsia="SimSun"/>
          <w:lang w:val="en-GB"/>
        </w:rPr>
        <w:t>205797, “</w:t>
      </w:r>
      <w:r w:rsidR="009C2F5E" w:rsidRPr="009C2F5E">
        <w:rPr>
          <w:bCs/>
          <w:lang w:eastAsia="zh-CN"/>
        </w:rPr>
        <w:t>LS to RAN2 on RACH report for 2-step RACH”</w:t>
      </w:r>
    </w:p>
    <w:sectPr w:rsidR="00F10BD5" w:rsidRPr="009141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1A25" w14:textId="77777777" w:rsidR="006B4F46" w:rsidRDefault="006B4F46">
      <w:r>
        <w:separator/>
      </w:r>
    </w:p>
  </w:endnote>
  <w:endnote w:type="continuationSeparator" w:id="0">
    <w:p w14:paraId="39CAC753" w14:textId="77777777" w:rsidR="006B4F46" w:rsidRDefault="006B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C7B0" w14:textId="77777777" w:rsidR="006B4F46" w:rsidRDefault="006B4F46">
      <w:r>
        <w:separator/>
      </w:r>
    </w:p>
  </w:footnote>
  <w:footnote w:type="continuationSeparator" w:id="0">
    <w:p w14:paraId="385BD001" w14:textId="77777777" w:rsidR="006B4F46" w:rsidRDefault="006B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4322B02"/>
    <w:multiLevelType w:val="multilevel"/>
    <w:tmpl w:val="64B8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D319E"/>
    <w:multiLevelType w:val="multilevel"/>
    <w:tmpl w:val="90D6CF66"/>
    <w:lvl w:ilvl="0">
      <w:start w:val="1"/>
      <w:numFmt w:val="decimal"/>
      <w:lvlText w:val="%1."/>
      <w:lvlJc w:val="left"/>
      <w:pPr>
        <w:tabs>
          <w:tab w:val="num" w:pos="-720"/>
        </w:tabs>
        <w:ind w:left="-720" w:hanging="360"/>
      </w:pPr>
    </w:lvl>
    <w:lvl w:ilvl="1" w:tentative="1">
      <w:start w:val="1"/>
      <w:numFmt w:val="decimal"/>
      <w:lvlText w:val="%2."/>
      <w:lvlJc w:val="left"/>
      <w:pPr>
        <w:tabs>
          <w:tab w:val="num" w:pos="0"/>
        </w:tabs>
        <w:ind w:left="0" w:hanging="360"/>
      </w:pPr>
    </w:lvl>
    <w:lvl w:ilvl="2" w:tentative="1">
      <w:start w:val="1"/>
      <w:numFmt w:val="decimal"/>
      <w:lvlText w:val="%3."/>
      <w:lvlJc w:val="left"/>
      <w:pPr>
        <w:tabs>
          <w:tab w:val="num" w:pos="720"/>
        </w:tabs>
        <w:ind w:left="720" w:hanging="360"/>
      </w:pPr>
    </w:lvl>
    <w:lvl w:ilvl="3" w:tentative="1">
      <w:start w:val="1"/>
      <w:numFmt w:val="decimal"/>
      <w:lvlText w:val="%4."/>
      <w:lvlJc w:val="left"/>
      <w:pPr>
        <w:tabs>
          <w:tab w:val="num" w:pos="1440"/>
        </w:tabs>
        <w:ind w:left="1440" w:hanging="360"/>
      </w:pPr>
    </w:lvl>
    <w:lvl w:ilvl="4" w:tentative="1">
      <w:start w:val="1"/>
      <w:numFmt w:val="decimal"/>
      <w:lvlText w:val="%5."/>
      <w:lvlJc w:val="left"/>
      <w:pPr>
        <w:tabs>
          <w:tab w:val="num" w:pos="2160"/>
        </w:tabs>
        <w:ind w:left="2160" w:hanging="360"/>
      </w:pPr>
    </w:lvl>
    <w:lvl w:ilvl="5" w:tentative="1">
      <w:start w:val="1"/>
      <w:numFmt w:val="decimal"/>
      <w:lvlText w:val="%6."/>
      <w:lvlJc w:val="left"/>
      <w:pPr>
        <w:tabs>
          <w:tab w:val="num" w:pos="2880"/>
        </w:tabs>
        <w:ind w:left="2880" w:hanging="360"/>
      </w:pPr>
    </w:lvl>
    <w:lvl w:ilvl="6" w:tentative="1">
      <w:start w:val="1"/>
      <w:numFmt w:val="decimal"/>
      <w:lvlText w:val="%7."/>
      <w:lvlJc w:val="left"/>
      <w:pPr>
        <w:tabs>
          <w:tab w:val="num" w:pos="3600"/>
        </w:tabs>
        <w:ind w:left="3600" w:hanging="360"/>
      </w:pPr>
    </w:lvl>
    <w:lvl w:ilvl="7" w:tentative="1">
      <w:start w:val="1"/>
      <w:numFmt w:val="decimal"/>
      <w:lvlText w:val="%8."/>
      <w:lvlJc w:val="left"/>
      <w:pPr>
        <w:tabs>
          <w:tab w:val="num" w:pos="4320"/>
        </w:tabs>
        <w:ind w:left="4320" w:hanging="360"/>
      </w:pPr>
    </w:lvl>
    <w:lvl w:ilvl="8" w:tentative="1">
      <w:start w:val="1"/>
      <w:numFmt w:val="decimal"/>
      <w:lvlText w:val="%9."/>
      <w:lvlJc w:val="left"/>
      <w:pPr>
        <w:tabs>
          <w:tab w:val="num" w:pos="5040"/>
        </w:tabs>
        <w:ind w:left="5040" w:hanging="360"/>
      </w:pPr>
    </w:lvl>
  </w:abstractNum>
  <w:abstractNum w:abstractNumId="4"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D27597"/>
    <w:multiLevelType w:val="multilevel"/>
    <w:tmpl w:val="18467886"/>
    <w:lvl w:ilvl="0">
      <w:start w:val="1"/>
      <w:numFmt w:val="lowerLetter"/>
      <w:lvlText w:val="%1."/>
      <w:lvlJc w:val="left"/>
      <w:pPr>
        <w:tabs>
          <w:tab w:val="num" w:pos="-10080"/>
        </w:tabs>
        <w:ind w:left="-10080" w:hanging="360"/>
      </w:pPr>
      <w:rPr>
        <w:rFonts w:hint="default"/>
      </w:rPr>
    </w:lvl>
    <w:lvl w:ilvl="1">
      <w:start w:val="1"/>
      <w:numFmt w:val="decimal"/>
      <w:lvlText w:val="%2."/>
      <w:lvlJc w:val="left"/>
      <w:pPr>
        <w:tabs>
          <w:tab w:val="num" w:pos="-9360"/>
        </w:tabs>
        <w:ind w:left="-9360" w:hanging="360"/>
      </w:pPr>
      <w:rPr>
        <w:rFonts w:hint="default"/>
      </w:rPr>
    </w:lvl>
    <w:lvl w:ilvl="2">
      <w:start w:val="1"/>
      <w:numFmt w:val="decimal"/>
      <w:lvlText w:val="%3."/>
      <w:lvlJc w:val="left"/>
      <w:pPr>
        <w:tabs>
          <w:tab w:val="num" w:pos="-8640"/>
        </w:tabs>
        <w:ind w:left="-8640" w:hanging="360"/>
      </w:pPr>
      <w:rPr>
        <w:rFonts w:hint="default"/>
      </w:rPr>
    </w:lvl>
    <w:lvl w:ilvl="3">
      <w:start w:val="1"/>
      <w:numFmt w:val="decimal"/>
      <w:lvlText w:val="%4."/>
      <w:lvlJc w:val="left"/>
      <w:pPr>
        <w:tabs>
          <w:tab w:val="num" w:pos="-7920"/>
        </w:tabs>
        <w:ind w:left="-7920" w:hanging="360"/>
      </w:pPr>
      <w:rPr>
        <w:rFonts w:hint="default"/>
      </w:rPr>
    </w:lvl>
    <w:lvl w:ilvl="4">
      <w:start w:val="1"/>
      <w:numFmt w:val="decimal"/>
      <w:lvlText w:val="%5."/>
      <w:lvlJc w:val="left"/>
      <w:pPr>
        <w:tabs>
          <w:tab w:val="num" w:pos="-7200"/>
        </w:tabs>
        <w:ind w:left="-7200" w:hanging="360"/>
      </w:pPr>
      <w:rPr>
        <w:rFonts w:hint="default"/>
      </w:rPr>
    </w:lvl>
    <w:lvl w:ilvl="5">
      <w:start w:val="1"/>
      <w:numFmt w:val="decimal"/>
      <w:lvlText w:val="%6."/>
      <w:lvlJc w:val="left"/>
      <w:pPr>
        <w:tabs>
          <w:tab w:val="num" w:pos="-6480"/>
        </w:tabs>
        <w:ind w:left="-648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5040"/>
        </w:tabs>
        <w:ind w:left="-5040" w:hanging="360"/>
      </w:pPr>
      <w:rPr>
        <w:rFonts w:hint="default"/>
      </w:rPr>
    </w:lvl>
    <w:lvl w:ilvl="8">
      <w:start w:val="1"/>
      <w:numFmt w:val="decimal"/>
      <w:lvlText w:val="%9."/>
      <w:lvlJc w:val="left"/>
      <w:pPr>
        <w:tabs>
          <w:tab w:val="num" w:pos="-4320"/>
        </w:tabs>
        <w:ind w:left="-4320" w:hanging="360"/>
      </w:pPr>
      <w:rPr>
        <w:rFont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2F38B8"/>
    <w:multiLevelType w:val="hybridMultilevel"/>
    <w:tmpl w:val="5B74010C"/>
    <w:lvl w:ilvl="0" w:tplc="92321B8E">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06B7E54"/>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1"/>
  </w:num>
  <w:num w:numId="3">
    <w:abstractNumId w:val="19"/>
  </w:num>
  <w:num w:numId="4">
    <w:abstractNumId w:val="25"/>
  </w:num>
  <w:num w:numId="5">
    <w:abstractNumId w:val="20"/>
  </w:num>
  <w:num w:numId="6">
    <w:abstractNumId w:val="27"/>
  </w:num>
  <w:num w:numId="7">
    <w:abstractNumId w:val="2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28"/>
  </w:num>
  <w:num w:numId="12">
    <w:abstractNumId w:val="17"/>
  </w:num>
  <w:num w:numId="13">
    <w:abstractNumId w:val="34"/>
  </w:num>
  <w:num w:numId="14">
    <w:abstractNumId w:val="8"/>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3"/>
  </w:num>
  <w:num w:numId="18">
    <w:abstractNumId w:val="24"/>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9"/>
  </w:num>
  <w:num w:numId="24">
    <w:abstractNumId w:val="36"/>
  </w:num>
  <w:num w:numId="25">
    <w:abstractNumId w:val="6"/>
  </w:num>
  <w:num w:numId="26">
    <w:abstractNumId w:val="37"/>
  </w:num>
  <w:num w:numId="27">
    <w:abstractNumId w:val="29"/>
  </w:num>
  <w:num w:numId="28">
    <w:abstractNumId w:val="32"/>
  </w:num>
  <w:num w:numId="29">
    <w:abstractNumId w:val="0"/>
  </w:num>
  <w:num w:numId="3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0"/>
  </w:num>
  <w:num w:numId="33">
    <w:abstractNumId w:val="12"/>
  </w:num>
  <w:num w:numId="34">
    <w:abstractNumId w:val="26"/>
  </w:num>
  <w:num w:numId="35">
    <w:abstractNumId w:val="2"/>
  </w:num>
  <w:num w:numId="36">
    <w:abstractNumId w:val="4"/>
  </w:num>
  <w:num w:numId="37">
    <w:abstractNumId w:val="18"/>
  </w:num>
  <w:num w:numId="38">
    <w:abstractNumId w:val="10"/>
  </w:num>
  <w:num w:numId="39">
    <w:abstractNumId w:val="5"/>
  </w:num>
  <w:num w:numId="40">
    <w:abstractNumId w:val="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KgFAKAe+pA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C1"/>
    <w:rsid w:val="008D276E"/>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FA2"/>
    <w:rsid w:val="00A94150"/>
    <w:rsid w:val="00A94621"/>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6866"/>
    <w:rsid w:val="00FB6918"/>
    <w:rsid w:val="00FB6B30"/>
    <w:rsid w:val="00FB6B37"/>
    <w:rsid w:val="00FB7A64"/>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F9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075a79f-873d-4941-9302-701f3819b1f7"/>
    <ds:schemaRef ds:uri="e37769ce-4fa4-4b9a-9c5e-6da082ccd188"/>
    <ds:schemaRef ds:uri="http://www.w3.org/XML/1998/namespace"/>
    <ds:schemaRef ds:uri="http://purl.org/dc/dcmitype/"/>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D4A41-3297-499A-B888-B891C2B8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813</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17</cp:revision>
  <cp:lastPrinted>2011-08-03T09:36:00Z</cp:lastPrinted>
  <dcterms:created xsi:type="dcterms:W3CDTF">2020-10-19T21:33:00Z</dcterms:created>
  <dcterms:modified xsi:type="dcterms:W3CDTF">2020-10-22T04:01:00Z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